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style2.xml" ContentType="application/vnd.ms-office.chartstyle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1.xml" ContentType="application/vnd.ms-office.chartsty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t xml:space="preserve">Demografski trendovi i struktura stanovništva Nove Varoši kroz različite popisne godine</w:t>
      </w:r>
      <w:r>
        <w:rPr>
          <w:b/>
          <w:bCs/>
          <w:sz w:val="32"/>
          <w:szCs w:val="32"/>
          <w:highlight w:val="none"/>
        </w:rPr>
      </w:r>
      <w:r/>
    </w:p>
    <w:p>
      <w:r>
        <w:rPr>
          <w:b/>
          <w:bCs/>
        </w:rPr>
        <w:t xml:space="preserve">Originalni podaci: </w:t>
      </w:r>
      <w:r>
        <w:rPr>
          <w:b/>
          <w:bCs/>
          <w:highlight w:val="none"/>
        </w:rPr>
      </w:r>
      <w:r/>
    </w:p>
    <w:p>
      <w:pPr>
        <w:jc w:val="both"/>
      </w:pPr>
      <w:r>
        <w:rPr>
          <w:highlight w:val="none"/>
        </w:rPr>
        <w:t xml:space="preserve">Komentar demog</w:t>
      </w:r>
      <w:r>
        <w:rPr>
          <w:highlight w:val="none"/>
        </w:rPr>
        <w:t xml:space="preserve">rafskih trendova i strukture stanovništva se bazira na originalnim podacima preuzetim iz baze Republičkog zavoda za statistiku. Podaci se odnose na ukuban broj stanovnika i na starosnu strukturu stanovnika zabeleženu u popisima za koje su podaci dostupni:</w:t>
      </w:r>
      <w:r>
        <w:rPr>
          <w:highlight w:val="none"/>
        </w:rPr>
      </w:r>
      <w:r/>
    </w:p>
    <w:tbl>
      <w:tblPr>
        <w:tblStyle w:val="884"/>
        <w:tblW w:w="0" w:type="auto"/>
        <w:jc w:val="center"/>
        <w:tblInd w:w="-96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417"/>
        <w:gridCol w:w="6503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  <w:t xml:space="preserve">Nova Varoš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contextualSpacing w:val="0"/>
              <w:ind w:left="0" w:right="0" w:firstLine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Broj stanovnika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503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suppressLineNumbers w:val="0"/>
            </w:pPr>
            <w:r>
              <w:rPr>
                <w:rFonts w:ascii="Asana" w:hAnsi="Asana" w:eastAsia="Arial Narrow" w:cs="Asana"/>
                <w:i/>
                <w:iCs/>
                <w:color w:val="000000"/>
                <w:sz w:val="22"/>
                <w:szCs w:val="22"/>
              </w:rPr>
            </w:r>
            <w:r>
              <w:drawing>
                <wp:inline distT="0" distB="0" distL="0" distR="0">
                  <wp:extent cx="4021477" cy="2166343"/>
                  <wp:effectExtent l="4762" t="4762" r="4762" b="4762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r>
              <w:rPr>
                <w:rFonts w:ascii="Asana" w:hAnsi="Asana" w:cs="Asana"/>
                <w:bCs/>
                <w:i/>
                <w:color w:val="000000"/>
                <w:sz w:val="22"/>
                <w:szCs w:val="22"/>
              </w:rPr>
            </w:r>
            <w:r/>
          </w:p>
          <w:p>
            <w:pPr>
              <w:rPr>
                <w:rFonts w:ascii="Asana" w:hAnsi="Asana" w:cs="Asana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sana" w:hAnsi="Asana" w:cs="Asana"/>
                <w:bCs/>
                <w:i/>
                <w:color w:val="000000"/>
                <w:sz w:val="22"/>
                <w:szCs w:val="22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g.1948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20170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g.1953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21848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/>
                <w:bCs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g.1961</w:t>
            </w:r>
            <w:r>
              <w:rPr>
                <w:rFonts w:ascii="Asana" w:hAnsi="Asana" w:cs="Asana"/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/>
                <w:bCs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  <w:t xml:space="preserve">24770</w:t>
            </w:r>
            <w:r>
              <w:rPr>
                <w:rFonts w:ascii="Asana" w:hAnsi="Asana" w:cs="Asana"/>
                <w:b/>
                <w:bCs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g.1971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22740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g.1981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22523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g.1991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21812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g.2002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20149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g.2011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16638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bottom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bCs w:val="0"/>
                <w:color w:val="000000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g.2022</w:t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22"/>
                <w:szCs w:val="22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  <w:t xml:space="preserve">13507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Calibri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283" w:lineRule="atLeast"/>
              <w:rPr>
                <w:rFonts w:ascii="Asana" w:hAnsi="Asana" w:cs="Asana"/>
                <w:color w:val="000000"/>
                <w:sz w:val="22"/>
                <w:szCs w:val="22"/>
              </w:rPr>
              <w:suppressLineNumbers w:val="0"/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r>
            <w:r>
              <w:rPr>
                <w:rFonts w:ascii="Asana" w:hAnsi="Asana" w:cs="Asana"/>
                <w:sz w:val="22"/>
                <w:szCs w:val="22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50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285"/>
        </w:trPr>
        <w:tc>
          <w:tcPr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Tabela 1. – Ukupan broj stanovnika po popisima</w:t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  <w:t xml:space="preserve">Drugi set podataka koji se koristi su podaci o starosnoj strukturi stanovnika po popisima:</w:t>
      </w:r>
      <w:r>
        <w:rPr>
          <w:highlight w:val="none"/>
        </w:rPr>
      </w:r>
      <w:r/>
    </w:p>
    <w:tbl>
      <w:tblPr>
        <w:tblStyle w:val="884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0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638"/>
        <w:gridCol w:w="638"/>
        <w:gridCol w:w="638"/>
      </w:tblGrid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Nova Varoš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0-4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5-9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10-14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15-19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20-24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25-29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30-34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35-39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40-44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45-49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50-54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55-59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60-64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65-69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70-74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75-79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80-84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85-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ukupno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20170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21848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g.1961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24770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22740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2017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2115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1990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1653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1545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876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22523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g.1991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1638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1614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1551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1409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1499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1759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1503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1146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1328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1483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477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21812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g.2002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1425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1131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1591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1742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1085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1167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1262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1072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540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323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20149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563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735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742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890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1095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957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840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873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979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1474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1611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1301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952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965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491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181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16638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1084" w:type="dxa"/>
            <w:vAlign w:val="bottom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g.2022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460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469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484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643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588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571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609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795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739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804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921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1089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1329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1422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1106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3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658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482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338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  <w:tc>
          <w:tcPr>
            <w:tcBorders>
              <w:top w:val="single" w:color="CCCCCC" w:sz="6" w:space="0"/>
              <w:left w:val="single" w:color="CCCCCC" w:sz="6" w:space="0"/>
              <w:bottom w:val="single" w:color="BFBFBF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6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sana" w:hAnsi="Asana" w:cs="Asana"/>
                <w:b w:val="0"/>
                <w:bCs w:val="0"/>
                <w:i w:val="0"/>
                <w:sz w:val="18"/>
                <w:szCs w:val="18"/>
              </w:rPr>
            </w:pP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  <w:t xml:space="preserve">13507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  <w:tr>
        <w:trPr>
          <w:trHeight w:val="285"/>
        </w:trPr>
        <w:tc>
          <w:tcPr>
            <w:gridSpan w:val="20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9355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Asana" w:hAnsi="Asana" w:cs="Asana"/>
                <w:b w:val="0"/>
                <w:bCs w:val="0"/>
                <w:i w:val="0"/>
                <w:color w:val="000000"/>
                <w:sz w:val="18"/>
                <w:szCs w:val="18"/>
              </w:rPr>
            </w:pPr>
            <w:r>
              <w:rPr>
                <w:rFonts w:ascii="Asana" w:hAnsi="Asana" w:eastAsia="Arial Narrow" w:cs="Asana"/>
                <w:b w:val="0"/>
                <w:bCs w:val="0"/>
                <w:i w:val="0"/>
                <w:iCs w:val="0"/>
                <w:color w:val="000000"/>
                <w:sz w:val="18"/>
                <w:szCs w:val="18"/>
              </w:rPr>
              <w:t xml:space="preserve">Tabela 2. – Starosna struktura stanovnika zabeležena u popisima</w:t>
            </w:r>
            <w:r>
              <w:rPr>
                <w:rFonts w:ascii="Asana" w:hAnsi="Asana" w:cs="Asana"/>
                <w:b w:val="0"/>
                <w:bCs w:val="0"/>
                <w:i w:val="0"/>
                <w:iCs w:val="0"/>
                <w:sz w:val="18"/>
                <w:szCs w:val="18"/>
              </w:rPr>
            </w:r>
            <w:r/>
          </w:p>
        </w:tc>
      </w:tr>
    </w:tbl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left"/>
      </w:pPr>
      <w:r>
        <w:rPr>
          <w:highlight w:val="none"/>
        </w:rPr>
        <w:t xml:space="preserve">Na osnovu ove tabele može se kreirati grafik koji pokazuje kretanje pojedinih starosnih grupa kroz popise za koje postoje javno dostupni podaci:</w:t>
      </w:r>
      <w:r>
        <w:rPr>
          <w:highlight w:val="none"/>
        </w:rPr>
      </w:r>
      <w:r/>
    </w:p>
    <w:p>
      <w:pPr>
        <w:jc w:val="center"/>
        <w:rPr>
          <w:highlight w:val="none"/>
        </w:rPr>
      </w:pPr>
      <w:r>
        <w:rPr>
          <w:highlight w:val="none"/>
        </w:rPr>
      </w:r>
      <w:r>
        <w:drawing>
          <wp:inline distT="0" distB="0" distL="0" distR="0">
            <wp:extent cx="5066052" cy="2946272"/>
            <wp:effectExtent l="4762" t="4762" r="4762" b="4762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highlight w:val="none"/>
        </w:rPr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Podaci za Novu Varoš jasno pokazuju značajan pad broja stanovnika i promene u starosnoj strukturi tokom decenija. Ovo je deo šireg demografskog trenda koji pogađa ruralne i manje opštine u Srbiji. Analiza se fokusira na ukupne brojke, starosnu strukturu i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uzroke promena.</w:t>
      </w:r>
      <w:r/>
    </w:p>
    <w:p>
      <w:pPr>
        <w:pStyle w:val="85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1. Ukupan broj stanovnika kroz vreme:</w:t>
      </w:r>
      <w:r/>
    </w:p>
    <w:p>
      <w:pPr>
        <w:pStyle w:val="1032"/>
        <w:numPr>
          <w:ilvl w:val="0"/>
          <w:numId w:val="70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Rast do 1961. godine:</w:t>
      </w:r>
      <w:r/>
    </w:p>
    <w:p>
      <w:pPr>
        <w:pStyle w:val="1032"/>
        <w:numPr>
          <w:ilvl w:val="0"/>
          <w:numId w:val="7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raste sa 20.170 (1948) na 24.770 (1961), verovatno usled visokog nataliteta u periodu posle Drugog svetskog rata.</w:t>
      </w:r>
      <w:r/>
    </w:p>
    <w:p>
      <w:pPr>
        <w:pStyle w:val="1032"/>
        <w:numPr>
          <w:ilvl w:val="0"/>
          <w:numId w:val="72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Stagnacija i početni pad (1971–1991):</w:t>
      </w:r>
      <w:r/>
    </w:p>
    <w:p>
      <w:pPr>
        <w:pStyle w:val="1032"/>
        <w:numPr>
          <w:ilvl w:val="0"/>
          <w:numId w:val="7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stanovnika opada sa 22.740 (1971) na 21.812 (1991). Ovo ukazuje na početak migracija ka urbanim centrima i niži natalitet.</w:t>
      </w:r>
      <w:r/>
    </w:p>
    <w:p>
      <w:pPr>
        <w:pStyle w:val="1032"/>
        <w:numPr>
          <w:ilvl w:val="0"/>
          <w:numId w:val="74"/>
        </w:numPr>
        <w:ind w:right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 od 2002. godine:</w:t>
      </w:r>
      <w:r/>
    </w:p>
    <w:p>
      <w:pPr>
        <w:pStyle w:val="1032"/>
        <w:numPr>
          <w:ilvl w:val="0"/>
          <w:numId w:val="7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Popis 2002. beleži 20.149 stanovnika, a broj opada na 16.638 (2011) i 13.507 (2022). Ovo predstavlja dramatičan pad od preko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33%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poslednjih 20 godina.</w:t>
      </w:r>
      <w:r/>
    </w:p>
    <w:p>
      <w:pPr>
        <w:pStyle w:val="85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2. Starosna struktura: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Deca i mladi (0–19 godina):</w:t>
      </w:r>
      <w:r/>
    </w:p>
    <w:p>
      <w:pPr>
        <w:pStyle w:val="1032"/>
        <w:numPr>
          <w:ilvl w:val="0"/>
          <w:numId w:val="7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pad:</w:t>
      </w:r>
      <w:r/>
    </w:p>
    <w:p>
      <w:pPr>
        <w:pStyle w:val="1032"/>
        <w:numPr>
          <w:ilvl w:val="0"/>
          <w:numId w:val="7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Grupa 0–4 godine opada sa 1.751 (1981) na samo 460 (2022). Ovo ukazuje na smanjenje nataliteta.</w:t>
      </w:r>
      <w:r/>
    </w:p>
    <w:p>
      <w:pPr>
        <w:pStyle w:val="1032"/>
        <w:numPr>
          <w:ilvl w:val="0"/>
          <w:numId w:val="7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Ukupan broj dece i mladih (0–19 godina):</w:t>
      </w:r>
      <w:r/>
    </w:p>
    <w:p>
      <w:pPr>
        <w:pStyle w:val="1032"/>
        <w:numPr>
          <w:ilvl w:val="0"/>
          <w:numId w:val="7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7.064 (31% ukupne populacije).</w:t>
      </w:r>
      <w:r/>
    </w:p>
    <w:p>
      <w:pPr>
        <w:pStyle w:val="1032"/>
        <w:numPr>
          <w:ilvl w:val="0"/>
          <w:numId w:val="8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2.056 (15% ukupne populacije).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Radno sposobno stanovništvo (20–59 godina):</w:t>
      </w:r>
      <w:r/>
    </w:p>
    <w:p>
      <w:pPr>
        <w:pStyle w:val="1032"/>
        <w:numPr>
          <w:ilvl w:val="0"/>
          <w:numId w:val="8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Postepeni pad:</w:t>
      </w:r>
      <w:r/>
    </w:p>
    <w:p>
      <w:pPr>
        <w:pStyle w:val="1032"/>
        <w:numPr>
          <w:ilvl w:val="0"/>
          <w:numId w:val="8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radno sposobnih (20–59 godina) opada, ali ne tako drastično kao kod dece. Ove grupe i dalje dominiraju ukupnom populacijom.</w:t>
      </w:r>
      <w:r/>
    </w:p>
    <w:p>
      <w:pPr>
        <w:pStyle w:val="1032"/>
        <w:numPr>
          <w:ilvl w:val="0"/>
          <w:numId w:val="8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primer, grupa 20–59 godina:</w:t>
      </w:r>
      <w:r/>
    </w:p>
    <w:p>
      <w:pPr>
        <w:pStyle w:val="1032"/>
        <w:numPr>
          <w:ilvl w:val="0"/>
          <w:numId w:val="8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10.000 (44% ukupne populacije).</w:t>
      </w:r>
      <w:r/>
    </w:p>
    <w:p>
      <w:pPr>
        <w:pStyle w:val="1032"/>
        <w:numPr>
          <w:ilvl w:val="0"/>
          <w:numId w:val="8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6.400 (47% ukupne populacije).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Starije stanovništvo (60+ godina):</w:t>
      </w:r>
      <w:r/>
    </w:p>
    <w:p>
      <w:pPr>
        <w:pStyle w:val="1032"/>
        <w:numPr>
          <w:ilvl w:val="0"/>
          <w:numId w:val="8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rast udela:</w:t>
      </w:r>
      <w:r/>
    </w:p>
    <w:p>
      <w:pPr>
        <w:pStyle w:val="1032"/>
        <w:numPr>
          <w:ilvl w:val="0"/>
          <w:numId w:val="8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Broj starijih od 60 godina značajno raste, što ukazuje na starenje populacije.</w:t>
      </w:r>
      <w:r/>
    </w:p>
    <w:p>
      <w:pPr>
        <w:pStyle w:val="1032"/>
        <w:numPr>
          <w:ilvl w:val="0"/>
          <w:numId w:val="8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Na primer:</w:t>
      </w:r>
      <w:r/>
    </w:p>
    <w:p>
      <w:pPr>
        <w:pStyle w:val="1032"/>
        <w:numPr>
          <w:ilvl w:val="0"/>
          <w:numId w:val="8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1981: oko 3.500 (15% ukupne populacije).</w:t>
      </w:r>
      <w:r/>
    </w:p>
    <w:p>
      <w:pPr>
        <w:pStyle w:val="1032"/>
        <w:numPr>
          <w:ilvl w:val="0"/>
          <w:numId w:val="9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2022: oko 5.051 (37% ukupne populacije).</w:t>
      </w:r>
      <w:r/>
    </w:p>
    <w:p>
      <w:pPr>
        <w:pStyle w:val="85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3. Ključni demografski trendovi: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Smanjenje nataliteta:</w:t>
      </w:r>
      <w:r/>
    </w:p>
    <w:p>
      <w:pPr>
        <w:pStyle w:val="1032"/>
        <w:numPr>
          <w:ilvl w:val="0"/>
          <w:numId w:val="9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Znatno manji broj novorođenih u poslednjih nekoliko decenija ukazuje na manji prirodni priraštaj. Broj dece (0–4 godine) opada sa 1.751 (1981) na samo 460 (2022).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Intenzivne migracije:</w:t>
      </w:r>
      <w:r/>
    </w:p>
    <w:p>
      <w:pPr>
        <w:pStyle w:val="1032"/>
        <w:numPr>
          <w:ilvl w:val="0"/>
          <w:numId w:val="92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Mladi i radno sposobni odlaze u veće gradove ili inostranstvo u potrazi za poslom. Ovo dodatno doprinosi opadanju broja stanovnika.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Starenje populacije:</w:t>
      </w:r>
      <w:r/>
    </w:p>
    <w:p>
      <w:pPr>
        <w:pStyle w:val="1032"/>
        <w:numPr>
          <w:ilvl w:val="0"/>
          <w:numId w:val="9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Stariji od 60 godina sada čine trećinu ukupne populacije, dok deca i mladi postaju sve manji deo. Ovo predstavlja izazov za lokalnu zajednicu u pogledu socijalnih usluga i održivosti.</w:t>
      </w:r>
      <w:r/>
    </w:p>
    <w:p>
      <w:pPr>
        <w:pStyle w:val="85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4. Predikcije za 2031. i 2041. godinu: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Ako se trenutni trendovi nastave, možemo predvideti: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Ukupan broj stanovnika:</w:t>
      </w:r>
      <w:r/>
    </w:p>
    <w:p>
      <w:pPr>
        <w:pStyle w:val="1032"/>
        <w:numPr>
          <w:ilvl w:val="0"/>
          <w:numId w:val="94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2031. godina:</w:t>
      </w:r>
      <w:r/>
    </w:p>
    <w:p>
      <w:pPr>
        <w:pStyle w:val="1032"/>
        <w:numPr>
          <w:ilvl w:val="0"/>
          <w:numId w:val="9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broja stanovnika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oko 11.500–12.000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1032"/>
        <w:numPr>
          <w:ilvl w:val="0"/>
          <w:numId w:val="9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2041. godina:</w:t>
      </w:r>
      <w:r/>
    </w:p>
    <w:p>
      <w:pPr>
        <w:pStyle w:val="1032"/>
        <w:numPr>
          <w:ilvl w:val="0"/>
          <w:numId w:val="9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Dalji pad na 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oko 9.500–10.000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.</w:t>
      </w:r>
      <w:r/>
    </w:p>
    <w:p>
      <w:pPr>
        <w:pStyle w:val="858"/>
        <w:ind w:left="0" w:right="0" w:firstLine="0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Starosna struktura:</w:t>
      </w:r>
      <w:r/>
    </w:p>
    <w:p>
      <w:pPr>
        <w:pStyle w:val="1032"/>
        <w:numPr>
          <w:ilvl w:val="0"/>
          <w:numId w:val="98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Deca i mladi (0–19 godina):</w:t>
      </w:r>
      <w:r/>
    </w:p>
    <w:p>
      <w:pPr>
        <w:pStyle w:val="1032"/>
        <w:numPr>
          <w:ilvl w:val="0"/>
          <w:numId w:val="99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pasti na oko 10–12% ukupne populacije.</w:t>
      </w:r>
      <w:r/>
    </w:p>
    <w:p>
      <w:pPr>
        <w:pStyle w:val="1032"/>
        <w:numPr>
          <w:ilvl w:val="0"/>
          <w:numId w:val="100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Starije stanovništvo (60+ godina):</w:t>
      </w:r>
      <w:r/>
    </w:p>
    <w:p>
      <w:pPr>
        <w:pStyle w:val="1032"/>
        <w:numPr>
          <w:ilvl w:val="0"/>
          <w:numId w:val="101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Njihov udeo će rasti i do 40–45% ukupne populacije.</w:t>
      </w:r>
      <w:r/>
    </w:p>
    <w:p>
      <w:pPr>
        <w:pStyle w:val="856"/>
        <w:ind w:left="0" w:right="0" w:firstLine="0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5. Zaključak: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Demografski izazovi:</w:t>
      </w:r>
      <w:r/>
    </w:p>
    <w:p>
      <w:pPr>
        <w:pStyle w:val="1032"/>
        <w:numPr>
          <w:ilvl w:val="0"/>
          <w:numId w:val="103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Smanjenje broja stanovnika, starenje populacije i odlazak mladih čine ključne izazove za Novu Varoš.</w:t>
      </w:r>
      <w:r/>
    </w:p>
    <w:p>
      <w:pPr>
        <w:ind w:left="709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Preporuke:</w:t>
      </w:r>
      <w:r/>
    </w:p>
    <w:p>
      <w:pPr>
        <w:pStyle w:val="1032"/>
        <w:numPr>
          <w:ilvl w:val="0"/>
          <w:numId w:val="105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nataliteta: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Finansijske i socijalne mere za mlade porodice.</w:t>
      </w:r>
      <w:r/>
    </w:p>
    <w:p>
      <w:pPr>
        <w:pStyle w:val="1032"/>
        <w:numPr>
          <w:ilvl w:val="0"/>
          <w:numId w:val="106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Zadržavanje stanovništva: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Kreiranje radnih mesta i podsticanje lokalnog razvoja.</w:t>
      </w:r>
      <w:r/>
    </w:p>
    <w:p>
      <w:pPr>
        <w:pStyle w:val="1032"/>
        <w:numPr>
          <w:ilvl w:val="0"/>
          <w:numId w:val="107"/>
        </w:numPr>
        <w:ind w:right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Prilagođavanje usluga: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infrastrukturu i usluge za stariju populaciju.</w:t>
      </w:r>
      <w:r/>
    </w:p>
    <w:p>
      <w:pPr>
        <w:ind w:left="0" w:right="0" w:firstLine="0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sana">
    <w:panose1 w:val="02000603000000000000"/>
  </w:font>
  <w:font w:name="Arial Narrow">
    <w:panose1 w:val="020B0606020202030204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jc w:val="right"/>
    </w:pPr>
    <w:fldSimple w:instr="PAGE \* MERGEFORMAT">
      <w:r>
        <w:t xml:space="preserve">1</w:t>
      </w:r>
    </w:fldSimple>
    <w:r/>
    <w:r/>
  </w:p>
  <w:p>
    <w:pPr>
      <w:pStyle w:val="880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8376414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3" cy="176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275852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2">
    <w:name w:val="Heading 1"/>
    <w:basedOn w:val="1028"/>
    <w:next w:val="1028"/>
    <w:link w:val="8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3">
    <w:name w:val="Heading 1 Char"/>
    <w:link w:val="852"/>
    <w:uiPriority w:val="9"/>
    <w:rPr>
      <w:rFonts w:ascii="Arial" w:hAnsi="Arial" w:eastAsia="Arial" w:cs="Arial"/>
      <w:sz w:val="40"/>
      <w:szCs w:val="40"/>
    </w:rPr>
  </w:style>
  <w:style w:type="paragraph" w:styleId="854">
    <w:name w:val="Heading 2"/>
    <w:basedOn w:val="1028"/>
    <w:next w:val="1028"/>
    <w:link w:val="8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5">
    <w:name w:val="Heading 2 Char"/>
    <w:link w:val="854"/>
    <w:uiPriority w:val="9"/>
    <w:rPr>
      <w:rFonts w:ascii="Arial" w:hAnsi="Arial" w:eastAsia="Arial" w:cs="Arial"/>
      <w:sz w:val="34"/>
    </w:rPr>
  </w:style>
  <w:style w:type="paragraph" w:styleId="856">
    <w:name w:val="Heading 3"/>
    <w:basedOn w:val="1028"/>
    <w:next w:val="1028"/>
    <w:link w:val="8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7">
    <w:name w:val="Heading 3 Char"/>
    <w:link w:val="856"/>
    <w:uiPriority w:val="9"/>
    <w:rPr>
      <w:rFonts w:ascii="Arial" w:hAnsi="Arial" w:eastAsia="Arial" w:cs="Arial"/>
      <w:sz w:val="30"/>
      <w:szCs w:val="30"/>
    </w:rPr>
  </w:style>
  <w:style w:type="paragraph" w:styleId="858">
    <w:name w:val="Heading 4"/>
    <w:basedOn w:val="1028"/>
    <w:next w:val="1028"/>
    <w:link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9">
    <w:name w:val="Heading 4 Char"/>
    <w:link w:val="858"/>
    <w:uiPriority w:val="9"/>
    <w:rPr>
      <w:rFonts w:ascii="Arial" w:hAnsi="Arial" w:eastAsia="Arial" w:cs="Arial"/>
      <w:b/>
      <w:bCs/>
      <w:sz w:val="26"/>
      <w:szCs w:val="26"/>
    </w:rPr>
  </w:style>
  <w:style w:type="paragraph" w:styleId="860">
    <w:name w:val="Heading 5"/>
    <w:basedOn w:val="1028"/>
    <w:next w:val="1028"/>
    <w:link w:val="8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1">
    <w:name w:val="Heading 5 Char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862">
    <w:name w:val="Heading 6"/>
    <w:basedOn w:val="1028"/>
    <w:next w:val="1028"/>
    <w:link w:val="8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3">
    <w:name w:val="Heading 6 Char"/>
    <w:link w:val="862"/>
    <w:uiPriority w:val="9"/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1028"/>
    <w:next w:val="1028"/>
    <w:link w:val="8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5">
    <w:name w:val="Heading 7 Char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1028"/>
    <w:next w:val="1028"/>
    <w:link w:val="8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7">
    <w:name w:val="Heading 8 Char"/>
    <w:link w:val="866"/>
    <w:uiPriority w:val="9"/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1028"/>
    <w:next w:val="1028"/>
    <w:link w:val="8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9 Char"/>
    <w:link w:val="868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Title"/>
    <w:basedOn w:val="1028"/>
    <w:next w:val="1028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>
    <w:name w:val="Title Char"/>
    <w:link w:val="870"/>
    <w:uiPriority w:val="10"/>
    <w:rPr>
      <w:sz w:val="48"/>
      <w:szCs w:val="48"/>
    </w:rPr>
  </w:style>
  <w:style w:type="paragraph" w:styleId="872">
    <w:name w:val="Subtitle"/>
    <w:basedOn w:val="1028"/>
    <w:next w:val="1028"/>
    <w:link w:val="873"/>
    <w:uiPriority w:val="11"/>
    <w:qFormat/>
    <w:pPr>
      <w:spacing w:before="200" w:after="200"/>
    </w:pPr>
    <w:rPr>
      <w:sz w:val="24"/>
      <w:szCs w:val="24"/>
    </w:rPr>
  </w:style>
  <w:style w:type="character" w:styleId="873">
    <w:name w:val="Subtitle Char"/>
    <w:link w:val="872"/>
    <w:uiPriority w:val="11"/>
    <w:rPr>
      <w:sz w:val="24"/>
      <w:szCs w:val="24"/>
    </w:rPr>
  </w:style>
  <w:style w:type="paragraph" w:styleId="874">
    <w:name w:val="Quote"/>
    <w:basedOn w:val="1028"/>
    <w:next w:val="1028"/>
    <w:link w:val="875"/>
    <w:uiPriority w:val="29"/>
    <w:qFormat/>
    <w:pPr>
      <w:ind w:left="720" w:right="720"/>
    </w:pPr>
    <w:rPr>
      <w:i/>
    </w:rPr>
  </w:style>
  <w:style w:type="character" w:styleId="875">
    <w:name w:val="Quote Char"/>
    <w:link w:val="874"/>
    <w:uiPriority w:val="29"/>
    <w:rPr>
      <w:i/>
    </w:rPr>
  </w:style>
  <w:style w:type="paragraph" w:styleId="876">
    <w:name w:val="Intense Quote"/>
    <w:basedOn w:val="1028"/>
    <w:next w:val="1028"/>
    <w:link w:val="8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7">
    <w:name w:val="Intense Quote Char"/>
    <w:link w:val="876"/>
    <w:uiPriority w:val="30"/>
    <w:rPr>
      <w:i/>
    </w:rPr>
  </w:style>
  <w:style w:type="paragraph" w:styleId="878">
    <w:name w:val="Header"/>
    <w:basedOn w:val="1028"/>
    <w:link w:val="8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Header Char"/>
    <w:link w:val="878"/>
    <w:uiPriority w:val="99"/>
  </w:style>
  <w:style w:type="paragraph" w:styleId="880">
    <w:name w:val="Footer"/>
    <w:basedOn w:val="1028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1">
    <w:name w:val="Footer Char"/>
    <w:link w:val="880"/>
    <w:uiPriority w:val="99"/>
  </w:style>
  <w:style w:type="paragraph" w:styleId="882">
    <w:name w:val="Caption"/>
    <w:basedOn w:val="1028"/>
    <w:next w:val="10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3">
    <w:name w:val="Caption Char"/>
    <w:basedOn w:val="882"/>
    <w:link w:val="880"/>
    <w:uiPriority w:val="99"/>
  </w:style>
  <w:style w:type="table" w:styleId="884">
    <w:name w:val="Table Grid"/>
    <w:basedOn w:val="10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Table Grid Light"/>
    <w:basedOn w:val="10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Plain Table 1"/>
    <w:basedOn w:val="10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2"/>
    <w:basedOn w:val="10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9">
    <w:name w:val="Plain Table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Plain Table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1">
    <w:name w:val="Grid Table 1 Light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4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3">
    <w:name w:val="Grid Table 4 - Accent 1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4">
    <w:name w:val="Grid Table 4 - Accent 2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Grid Table 4 - Accent 3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6">
    <w:name w:val="Grid Table 4 - Accent 4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Grid Table 4 - Accent 5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8">
    <w:name w:val="Grid Table 4 - Accent 6"/>
    <w:basedOn w:val="10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9">
    <w:name w:val="Grid Table 5 Dark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26">
    <w:name w:val="Grid Table 6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7">
    <w:name w:val="Grid Table 6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8">
    <w:name w:val="Grid Table 6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9">
    <w:name w:val="Grid Table 6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0">
    <w:name w:val="Grid Table 6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1">
    <w:name w:val="Grid Table 6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2">
    <w:name w:val="Grid Table 6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3">
    <w:name w:val="Grid Table 7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8">
    <w:name w:val="List Table 2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9">
    <w:name w:val="List Table 2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0">
    <w:name w:val="List Table 2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1">
    <w:name w:val="List Table 2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2">
    <w:name w:val="List Table 2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3">
    <w:name w:val="List Table 2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4">
    <w:name w:val="List Table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5 Dark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6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6">
    <w:name w:val="List Table 6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7">
    <w:name w:val="List Table 6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8">
    <w:name w:val="List Table 6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9">
    <w:name w:val="List Table 6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0">
    <w:name w:val="List Table 6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1">
    <w:name w:val="List Table 6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2">
    <w:name w:val="List Table 7 Colorful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3">
    <w:name w:val="List Table 7 Colorful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84">
    <w:name w:val="List Table 7 Colorful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85">
    <w:name w:val="List Table 7 Colorful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86">
    <w:name w:val="List Table 7 Colorful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87">
    <w:name w:val="List Table 7 Colorful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88">
    <w:name w:val="List Table 7 Colorful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89">
    <w:name w:val="Lined - Accent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Lined - Accent 1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1">
    <w:name w:val="Lined - Accent 2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2">
    <w:name w:val="Lined - Accent 3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93">
    <w:name w:val="Lined - Accent 4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94">
    <w:name w:val="Lined - Accent 5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95">
    <w:name w:val="Lined - Accent 6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96">
    <w:name w:val="Bordered &amp; Lined - Accent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7">
    <w:name w:val="Bordered &amp; Lined - Accent 1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98">
    <w:name w:val="Bordered &amp; Lined - Accent 2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99">
    <w:name w:val="Bordered &amp; Lined - Accent 3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0">
    <w:name w:val="Bordered &amp; Lined - Accent 4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1">
    <w:name w:val="Bordered &amp; Lined - Accent 5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02">
    <w:name w:val="Bordered &amp; Lined - Accent 6"/>
    <w:basedOn w:val="10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03">
    <w:name w:val="Bordered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4">
    <w:name w:val="Bordered - Accent 1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5">
    <w:name w:val="Bordered - Accent 2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6">
    <w:name w:val="Bordered - Accent 3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7">
    <w:name w:val="Bordered - Accent 4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8">
    <w:name w:val="Bordered - Accent 5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9">
    <w:name w:val="Bordered - Accent 6"/>
    <w:basedOn w:val="10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0">
    <w:name w:val="Hyperlink"/>
    <w:uiPriority w:val="99"/>
    <w:unhideWhenUsed/>
    <w:rPr>
      <w:color w:val="0000ff" w:themeColor="hyperlink"/>
      <w:u w:val="single"/>
    </w:rPr>
  </w:style>
  <w:style w:type="paragraph" w:styleId="1011">
    <w:name w:val="footnote text"/>
    <w:basedOn w:val="1028"/>
    <w:link w:val="1012"/>
    <w:uiPriority w:val="99"/>
    <w:semiHidden/>
    <w:unhideWhenUsed/>
    <w:pPr>
      <w:spacing w:after="40" w:line="240" w:lineRule="auto"/>
    </w:pPr>
    <w:rPr>
      <w:sz w:val="18"/>
    </w:rPr>
  </w:style>
  <w:style w:type="character" w:styleId="1012">
    <w:name w:val="Footnote Text Char"/>
    <w:link w:val="1011"/>
    <w:uiPriority w:val="99"/>
    <w:rPr>
      <w:sz w:val="18"/>
    </w:rPr>
  </w:style>
  <w:style w:type="character" w:styleId="1013">
    <w:name w:val="footnote reference"/>
    <w:uiPriority w:val="99"/>
    <w:unhideWhenUsed/>
    <w:rPr>
      <w:vertAlign w:val="superscript"/>
    </w:rPr>
  </w:style>
  <w:style w:type="paragraph" w:styleId="1014">
    <w:name w:val="endnote text"/>
    <w:basedOn w:val="1028"/>
    <w:link w:val="1015"/>
    <w:uiPriority w:val="99"/>
    <w:semiHidden/>
    <w:unhideWhenUsed/>
    <w:pPr>
      <w:spacing w:after="0" w:line="240" w:lineRule="auto"/>
    </w:pPr>
    <w:rPr>
      <w:sz w:val="20"/>
    </w:rPr>
  </w:style>
  <w:style w:type="character" w:styleId="1015">
    <w:name w:val="Endnote Text Char"/>
    <w:link w:val="1014"/>
    <w:uiPriority w:val="99"/>
    <w:rPr>
      <w:sz w:val="20"/>
    </w:rPr>
  </w:style>
  <w:style w:type="character" w:styleId="1016">
    <w:name w:val="endnote reference"/>
    <w:uiPriority w:val="99"/>
    <w:semiHidden/>
    <w:unhideWhenUsed/>
    <w:rPr>
      <w:vertAlign w:val="superscript"/>
    </w:rPr>
  </w:style>
  <w:style w:type="paragraph" w:styleId="1017">
    <w:name w:val="toc 1"/>
    <w:basedOn w:val="1028"/>
    <w:next w:val="1028"/>
    <w:uiPriority w:val="39"/>
    <w:unhideWhenUsed/>
    <w:pPr>
      <w:ind w:left="0" w:right="0" w:firstLine="0"/>
      <w:spacing w:after="57"/>
    </w:pPr>
  </w:style>
  <w:style w:type="paragraph" w:styleId="1018">
    <w:name w:val="toc 2"/>
    <w:basedOn w:val="1028"/>
    <w:next w:val="1028"/>
    <w:uiPriority w:val="39"/>
    <w:unhideWhenUsed/>
    <w:pPr>
      <w:ind w:left="283" w:right="0" w:firstLine="0"/>
      <w:spacing w:after="57"/>
    </w:pPr>
  </w:style>
  <w:style w:type="paragraph" w:styleId="1019">
    <w:name w:val="toc 3"/>
    <w:basedOn w:val="1028"/>
    <w:next w:val="1028"/>
    <w:uiPriority w:val="39"/>
    <w:unhideWhenUsed/>
    <w:pPr>
      <w:ind w:left="567" w:right="0" w:firstLine="0"/>
      <w:spacing w:after="57"/>
    </w:pPr>
  </w:style>
  <w:style w:type="paragraph" w:styleId="1020">
    <w:name w:val="toc 4"/>
    <w:basedOn w:val="1028"/>
    <w:next w:val="1028"/>
    <w:uiPriority w:val="39"/>
    <w:unhideWhenUsed/>
    <w:pPr>
      <w:ind w:left="850" w:right="0" w:firstLine="0"/>
      <w:spacing w:after="57"/>
    </w:pPr>
  </w:style>
  <w:style w:type="paragraph" w:styleId="1021">
    <w:name w:val="toc 5"/>
    <w:basedOn w:val="1028"/>
    <w:next w:val="1028"/>
    <w:uiPriority w:val="39"/>
    <w:unhideWhenUsed/>
    <w:pPr>
      <w:ind w:left="1134" w:right="0" w:firstLine="0"/>
      <w:spacing w:after="57"/>
    </w:pPr>
  </w:style>
  <w:style w:type="paragraph" w:styleId="1022">
    <w:name w:val="toc 6"/>
    <w:basedOn w:val="1028"/>
    <w:next w:val="1028"/>
    <w:uiPriority w:val="39"/>
    <w:unhideWhenUsed/>
    <w:pPr>
      <w:ind w:left="1417" w:right="0" w:firstLine="0"/>
      <w:spacing w:after="57"/>
    </w:pPr>
  </w:style>
  <w:style w:type="paragraph" w:styleId="1023">
    <w:name w:val="toc 7"/>
    <w:basedOn w:val="1028"/>
    <w:next w:val="1028"/>
    <w:uiPriority w:val="39"/>
    <w:unhideWhenUsed/>
    <w:pPr>
      <w:ind w:left="1701" w:right="0" w:firstLine="0"/>
      <w:spacing w:after="57"/>
    </w:pPr>
  </w:style>
  <w:style w:type="paragraph" w:styleId="1024">
    <w:name w:val="toc 8"/>
    <w:basedOn w:val="1028"/>
    <w:next w:val="1028"/>
    <w:uiPriority w:val="39"/>
    <w:unhideWhenUsed/>
    <w:pPr>
      <w:ind w:left="1984" w:right="0" w:firstLine="0"/>
      <w:spacing w:after="57"/>
    </w:pPr>
  </w:style>
  <w:style w:type="paragraph" w:styleId="1025">
    <w:name w:val="toc 9"/>
    <w:basedOn w:val="1028"/>
    <w:next w:val="1028"/>
    <w:uiPriority w:val="39"/>
    <w:unhideWhenUsed/>
    <w:pPr>
      <w:ind w:left="2268" w:right="0" w:firstLine="0"/>
      <w:spacing w:after="57"/>
    </w:pPr>
  </w:style>
  <w:style w:type="paragraph" w:styleId="1026">
    <w:name w:val="TOC Heading"/>
    <w:uiPriority w:val="39"/>
    <w:unhideWhenUsed/>
  </w:style>
  <w:style w:type="paragraph" w:styleId="1027">
    <w:name w:val="table of figures"/>
    <w:basedOn w:val="1028"/>
    <w:next w:val="1028"/>
    <w:uiPriority w:val="99"/>
    <w:unhideWhenUsed/>
    <w:pPr>
      <w:spacing w:after="0" w:afterAutospacing="0"/>
    </w:pPr>
  </w:style>
  <w:style w:type="paragraph" w:styleId="1028" w:default="1">
    <w:name w:val="Normal"/>
    <w:qFormat/>
  </w:style>
  <w:style w:type="table" w:styleId="10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0" w:default="1">
    <w:name w:val="No List"/>
    <w:uiPriority w:val="99"/>
    <w:semiHidden/>
    <w:unhideWhenUsed/>
  </w:style>
  <w:style w:type="paragraph" w:styleId="1031">
    <w:name w:val="No Spacing"/>
    <w:basedOn w:val="1028"/>
    <w:uiPriority w:val="1"/>
    <w:qFormat/>
    <w:pPr>
      <w:spacing w:after="0" w:line="240" w:lineRule="auto"/>
    </w:pPr>
  </w:style>
  <w:style w:type="paragraph" w:styleId="1032">
    <w:name w:val="List Paragraph"/>
    <w:basedOn w:val="1028"/>
    <w:uiPriority w:val="34"/>
    <w:qFormat/>
    <w:pPr>
      <w:contextualSpacing/>
      <w:ind w:left="720"/>
    </w:pPr>
  </w:style>
  <w:style w:type="character" w:styleId="103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hart" Target="charts/chart1.xml" /><Relationship Id="rId12" Type="http://schemas.openxmlformats.org/officeDocument/2006/relationships/chart" Target="charts/chart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charts/_rels/chart1.xml.rels><?xml version="1.0" encoding="UTF-8" standalone="yes"?><Relationships xmlns="http://schemas.openxmlformats.org/package/2006/relationships"><Relationship Id="rId1" Type="http://schemas.microsoft.com/office/2011/relationships/chartStyle" Target="style1.xml" /><Relationship Id="rId2" Type="http://schemas.microsoft.com/office/2011/relationships/chartColorStyle" Target="colors1.xml" /><Relationship Id="rId3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microsoft.com/office/2011/relationships/chartStyle" Target="style2.xml" /><Relationship Id="rId2" Type="http://schemas.microsoft.com/office/2011/relationships/chartColorStyle" Target="colors2.xml" /><Relationship Id="rId3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Broj stanovnika Nove Varoši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 xml:space="preserve">'Nova Varoš'!$C$20</c:f>
              <c:strCache>
                <c:ptCount val="1"/>
                <c:pt idx="0">
                  <c:v xml:space="preserve">Broj stanovnika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 xml:space="preserve">'Nova Varoš'!$B$21:$B$29</c:f>
              <c:strCache>
                <c:ptCount val="9"/>
                <c:pt idx="0">
                  <c:v>g.1948</c:v>
                </c:pt>
                <c:pt idx="1">
                  <c:v>g.1953</c:v>
                </c:pt>
                <c:pt idx="2">
                  <c:v>g.1961</c:v>
                </c:pt>
                <c:pt idx="3">
                  <c:v>g.1971</c:v>
                </c:pt>
                <c:pt idx="4">
                  <c:v>g.1981</c:v>
                </c:pt>
                <c:pt idx="5">
                  <c:v>g.1991</c:v>
                </c:pt>
                <c:pt idx="6">
                  <c:v>g.2002</c:v>
                </c:pt>
                <c:pt idx="7">
                  <c:v>g.2011</c:v>
                </c:pt>
                <c:pt idx="8">
                  <c:v>g.2022</c:v>
                </c:pt>
              </c:strCache>
            </c:strRef>
          </c:cat>
          <c:val>
            <c:numRef>
              <c:f xml:space="preserve">'Nova Varoš'!$C$21:$C$29</c:f>
              <c:numCache>
                <c:formatCode>General</c:formatCode>
                <c:ptCount val="9"/>
                <c:pt idx="0">
                  <c:v>20170</c:v>
                </c:pt>
                <c:pt idx="1">
                  <c:v>21848</c:v>
                </c:pt>
                <c:pt idx="2">
                  <c:v>24770</c:v>
                </c:pt>
                <c:pt idx="3">
                  <c:v>22740</c:v>
                </c:pt>
                <c:pt idx="4">
                  <c:v>22523</c:v>
                </c:pt>
                <c:pt idx="5">
                  <c:v>21812</c:v>
                </c:pt>
                <c:pt idx="6">
                  <c:v>20149</c:v>
                </c:pt>
                <c:pt idx="7">
                  <c:v>16638</c:v>
                </c:pt>
                <c:pt idx="8">
                  <c:v>13507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29"/>
        <c:axId val="511722030"/>
      </c:lineChart>
      <c:catAx>
        <c:axId val="511722029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30"/>
        <c:crosses val="autoZero"/>
        <c:auto val="1"/>
        <c:lblAlgn val="ctr"/>
        <c:lblOffset val="100"/>
        <c:noMultiLvlLbl val="0"/>
      </c:catAx>
      <c:valAx>
        <c:axId val="511722030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29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plotVisOnly val="1"/>
    <c:dispBlanksAs val="gap"/>
    <c:showDLblsOverMax val="0"/>
  </c:chart>
  <c:spPr bwMode="auto">
    <a:xfrm>
      <a:off x="0" y="0"/>
      <a:ext cx="4021477" cy="216634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en-US"/>
  <c:roundedCorners val="0"/>
  <mc:AlternateContent>
    <mc:Choice Requires="c14">
      <c14:style val="102"/>
    </mc:Choice>
    <mc:Fallback>
      <c:style val="2"/>
    </mc:Fallback>
  </mc:AlternateContent>
  <c:chart>
    <c:title>
      <c:tx>
        <c:rich>
          <a:bodyPr/>
          <a:p>
            <a:pPr>
              <a:defRPr sz="1400" b="0" spc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/>
              <a:t>Grafički prikaz u promena u starosnoj strukturi stanovnika Nove Varoši kroz popise</a:t>
            </a:r>
            <a:endParaRPr/>
          </a:p>
        </c:rich>
      </c:tx>
      <c:layout/>
      <c:overlay val="0"/>
      <c:spPr bwMode="auto">
        <a:prstGeom prst="rect">
          <a:avLst/>
        </a:prstGeom>
        <a:noFill/>
        <a:ln>
          <a:noFill/>
        </a:ln>
      </c:spPr>
      <c:txPr>
        <a:bodyPr/>
        <a:p>
          <a:pPr>
            <a:defRPr sz="1400" b="0" spc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/>
        </a:p>
      </c:txPr>
    </c:title>
    <c:autoTitleDeleted val="0"/>
    <c:plotArea>
      <c:layout>
        <c:manualLayout/>
      </c:layout>
      <c:lineChart>
        <c:grouping val="standard"/>
        <c:varyColors val="0"/>
        <c:ser>
          <c:idx val="0"/>
          <c:order val="0"/>
          <c:tx>
            <c:strRef>
              <c:f xml:space="preserve">'Nova Varoš'!$B$4</c:f>
              <c:strCache>
                <c:ptCount val="1"/>
                <c:pt idx="0">
                  <c:v>g.1981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1"/>
            </a:solidFill>
            <a:ln w="28575" cap="rnd">
              <a:solidFill>
                <a:schemeClr val="accent1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1"/>
              </a:solidFill>
              <a:ln/>
            </c:spPr>
          </c:marker>
          <c:cat>
            <c:strRef>
              <c:f xml:space="preserve">'Nova Varoš'!$C$3:$T$3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 xml:space="preserve">'Nova Varoš'!$C$4:$T$4</c:f>
              <c:numCache>
                <c:formatCode>General</c:formatCode>
                <c:ptCount val="18"/>
                <c:pt idx="0">
                  <c:v>1751</c:v>
                </c:pt>
                <c:pt idx="1">
                  <c:v>1653</c:v>
                </c:pt>
                <c:pt idx="2">
                  <c:v>1643</c:v>
                </c:pt>
                <c:pt idx="3">
                  <c:v>2017</c:v>
                </c:pt>
                <c:pt idx="4">
                  <c:v>2115</c:v>
                </c:pt>
                <c:pt idx="5">
                  <c:v>1990</c:v>
                </c:pt>
                <c:pt idx="6">
                  <c:v>1653</c:v>
                </c:pt>
                <c:pt idx="7">
                  <c:v>1252</c:v>
                </c:pt>
                <c:pt idx="8">
                  <c:v>1472</c:v>
                </c:pt>
                <c:pt idx="9">
                  <c:v>1684</c:v>
                </c:pt>
                <c:pt idx="10">
                  <c:v>1545</c:v>
                </c:pt>
                <c:pt idx="11">
                  <c:v>876</c:v>
                </c:pt>
                <c:pt idx="12">
                  <c:v>800</c:v>
                </c:pt>
                <c:pt idx="13">
                  <c:v>1000</c:v>
                </c:pt>
                <c:pt idx="14">
                  <c:v>979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 xml:space="preserve">'Nova Varoš'!$B$5</c:f>
              <c:strCache>
                <c:ptCount val="1"/>
                <c:pt idx="0">
                  <c:v>g.1991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2"/>
            </a:solidFill>
            <a:ln w="28575" cap="rnd">
              <a:solidFill>
                <a:schemeClr val="accent2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2"/>
              </a:solidFill>
              <a:ln/>
            </c:spPr>
          </c:marker>
          <c:cat>
            <c:strRef>
              <c:f xml:space="preserve">'Nova Varoš'!$C$3:$T$3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 xml:space="preserve">'Nova Varoš'!$C$5:$T$5</c:f>
              <c:numCache>
                <c:formatCode>General</c:formatCode>
                <c:ptCount val="18"/>
                <c:pt idx="0">
                  <c:v>1488</c:v>
                </c:pt>
                <c:pt idx="1">
                  <c:v>1638</c:v>
                </c:pt>
                <c:pt idx="2">
                  <c:v>1614</c:v>
                </c:pt>
                <c:pt idx="3">
                  <c:v>1551</c:v>
                </c:pt>
                <c:pt idx="4">
                  <c:v>1409</c:v>
                </c:pt>
                <c:pt idx="5">
                  <c:v>1499</c:v>
                </c:pt>
                <c:pt idx="6">
                  <c:v>1800</c:v>
                </c:pt>
                <c:pt idx="7">
                  <c:v>1759</c:v>
                </c:pt>
                <c:pt idx="8">
                  <c:v>1503</c:v>
                </c:pt>
                <c:pt idx="9">
                  <c:v>1146</c:v>
                </c:pt>
                <c:pt idx="10">
                  <c:v>1328</c:v>
                </c:pt>
                <c:pt idx="11">
                  <c:v>1483</c:v>
                </c:pt>
                <c:pt idx="12">
                  <c:v>1384</c:v>
                </c:pt>
                <c:pt idx="13">
                  <c:v>867</c:v>
                </c:pt>
                <c:pt idx="14">
                  <c:v>477</c:v>
                </c:pt>
                <c:pt idx="15">
                  <c:v>322</c:v>
                </c:pt>
                <c:pt idx="16">
                  <c:v>301</c:v>
                </c:pt>
                <c:pt idx="17">
                  <c:v>152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 xml:space="preserve">'Nova Varoš'!$B$6</c:f>
              <c:strCache>
                <c:ptCount val="1"/>
                <c:pt idx="0">
                  <c:v>g.2002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3"/>
            </a:solidFill>
            <a:ln w="28575" cap="rnd">
              <a:solidFill>
                <a:schemeClr val="accent3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3"/>
              </a:solidFill>
              <a:ln/>
            </c:spPr>
          </c:marker>
          <c:cat>
            <c:strRef>
              <c:f xml:space="preserve">'Nova Varoš'!$C$3:$T$3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 xml:space="preserve">'Nova Varoš'!$C$6:$T$6</c:f>
              <c:numCache>
                <c:formatCode>General</c:formatCode>
                <c:ptCount val="18"/>
                <c:pt idx="0">
                  <c:v>800</c:v>
                </c:pt>
                <c:pt idx="1">
                  <c:v>979</c:v>
                </c:pt>
                <c:pt idx="2">
                  <c:v>1323</c:v>
                </c:pt>
                <c:pt idx="3">
                  <c:v>1549</c:v>
                </c:pt>
                <c:pt idx="4">
                  <c:v>1425</c:v>
                </c:pt>
                <c:pt idx="5">
                  <c:v>1169</c:v>
                </c:pt>
                <c:pt idx="6">
                  <c:v>1131</c:v>
                </c:pt>
                <c:pt idx="7">
                  <c:v>1288</c:v>
                </c:pt>
                <c:pt idx="8">
                  <c:v>1591</c:v>
                </c:pt>
                <c:pt idx="9">
                  <c:v>1742</c:v>
                </c:pt>
                <c:pt idx="10">
                  <c:v>1443</c:v>
                </c:pt>
                <c:pt idx="11">
                  <c:v>1085</c:v>
                </c:pt>
                <c:pt idx="12">
                  <c:v>1167</c:v>
                </c:pt>
                <c:pt idx="13">
                  <c:v>1262</c:v>
                </c:pt>
                <c:pt idx="14">
                  <c:v>1072</c:v>
                </c:pt>
                <c:pt idx="15">
                  <c:v>540</c:v>
                </c:pt>
                <c:pt idx="16">
                  <c:v>323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 xml:space="preserve">'Nova Varoš'!$B$7</c:f>
              <c:strCache>
                <c:ptCount val="1"/>
                <c:pt idx="0">
                  <c:v>g.2011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4"/>
            </a:solidFill>
            <a:ln w="28575" cap="rnd">
              <a:solidFill>
                <a:schemeClr val="accent4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4"/>
              </a:solidFill>
              <a:ln/>
            </c:spPr>
          </c:marker>
          <c:cat>
            <c:strRef>
              <c:f xml:space="preserve">'Nova Varoš'!$C$3:$T$3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 xml:space="preserve">'Nova Varoš'!$C$7:$T$7</c:f>
              <c:numCache>
                <c:formatCode>General</c:formatCode>
                <c:ptCount val="18"/>
                <c:pt idx="0">
                  <c:v>563</c:v>
                </c:pt>
                <c:pt idx="1">
                  <c:v>735</c:v>
                </c:pt>
                <c:pt idx="2">
                  <c:v>742</c:v>
                </c:pt>
                <c:pt idx="3">
                  <c:v>890</c:v>
                </c:pt>
                <c:pt idx="4">
                  <c:v>1095</c:v>
                </c:pt>
                <c:pt idx="5">
                  <c:v>957</c:v>
                </c:pt>
                <c:pt idx="6">
                  <c:v>840</c:v>
                </c:pt>
                <c:pt idx="7">
                  <c:v>873</c:v>
                </c:pt>
                <c:pt idx="8">
                  <c:v>979</c:v>
                </c:pt>
                <c:pt idx="9">
                  <c:v>1184</c:v>
                </c:pt>
                <c:pt idx="10">
                  <c:v>1474</c:v>
                </c:pt>
                <c:pt idx="11">
                  <c:v>1611</c:v>
                </c:pt>
                <c:pt idx="12">
                  <c:v>1301</c:v>
                </c:pt>
                <c:pt idx="13">
                  <c:v>952</c:v>
                </c:pt>
                <c:pt idx="14">
                  <c:v>965</c:v>
                </c:pt>
                <c:pt idx="15">
                  <c:v>805</c:v>
                </c:pt>
                <c:pt idx="16">
                  <c:v>491</c:v>
                </c:pt>
                <c:pt idx="17">
                  <c:v>181</c:v>
                </c:pt>
              </c:numCache>
            </c:numRef>
          </c:val>
          <c:smooth val="0"/>
        </c:ser>
        <c:ser>
          <c:idx val="4"/>
          <c:order val="4"/>
          <c:tx>
            <c:strRef>
              <c:f xml:space="preserve">'Nova Varoš'!$B$8</c:f>
              <c:strCache>
                <c:ptCount val="1"/>
                <c:pt idx="0">
                  <c:v>g.2022</c:v>
                </c:pt>
              </c:strCache>
            </c:strRef>
          </c:tx>
          <c:spPr bwMode="auto">
            <a:prstGeom prst="rect">
              <a:avLst/>
            </a:prstGeom>
            <a:solidFill>
              <a:schemeClr val="accent5"/>
            </a:solidFill>
            <a:ln w="28575" cap="rnd">
              <a:solidFill>
                <a:schemeClr val="accent5"/>
              </a:solidFill>
              <a:round/>
            </a:ln>
          </c:spPr>
          <c:marker>
            <c:symbol val="circle"/>
            <c:size val="5"/>
            <c:spPr bwMode="auto">
              <a:prstGeom prst="rect">
                <a:avLst/>
              </a:prstGeom>
              <a:solidFill>
                <a:schemeClr val="accent5"/>
              </a:solidFill>
              <a:ln/>
            </c:spPr>
          </c:marker>
          <c:cat>
            <c:strRef>
              <c:f xml:space="preserve">'Nova Varoš'!$C$3:$T$3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85-</c:v>
                </c:pt>
              </c:strCache>
            </c:strRef>
          </c:cat>
          <c:val>
            <c:numRef>
              <c:f xml:space="preserve">'Nova Varoš'!$C$8:$T$8</c:f>
              <c:numCache>
                <c:formatCode>General</c:formatCode>
                <c:ptCount val="18"/>
                <c:pt idx="0">
                  <c:v>460</c:v>
                </c:pt>
                <c:pt idx="1">
                  <c:v>469</c:v>
                </c:pt>
                <c:pt idx="2">
                  <c:v>484</c:v>
                </c:pt>
                <c:pt idx="3">
                  <c:v>643</c:v>
                </c:pt>
                <c:pt idx="4">
                  <c:v>588</c:v>
                </c:pt>
                <c:pt idx="5">
                  <c:v>571</c:v>
                </c:pt>
                <c:pt idx="6">
                  <c:v>609</c:v>
                </c:pt>
                <c:pt idx="7">
                  <c:v>795</c:v>
                </c:pt>
                <c:pt idx="8">
                  <c:v>739</c:v>
                </c:pt>
                <c:pt idx="9">
                  <c:v>804</c:v>
                </c:pt>
                <c:pt idx="10">
                  <c:v>921</c:v>
                </c:pt>
                <c:pt idx="11">
                  <c:v>1089</c:v>
                </c:pt>
                <c:pt idx="12">
                  <c:v>1329</c:v>
                </c:pt>
                <c:pt idx="13">
                  <c:v>1422</c:v>
                </c:pt>
                <c:pt idx="14">
                  <c:v>1106</c:v>
                </c:pt>
                <c:pt idx="15">
                  <c:v>658</c:v>
                </c:pt>
                <c:pt idx="16">
                  <c:v>482</c:v>
                </c:pt>
                <c:pt idx="17">
                  <c:v>338</c:v>
                </c:pt>
              </c:numCache>
            </c:numRef>
          </c:val>
          <c:smooth val="0"/>
        </c:ser>
        <c:dLbls>
          <c:showBubbleSize val="0"/>
          <c:showCatName val="0"/>
          <c:showLeaderLines val="0"/>
          <c:showLegendKey val="0"/>
          <c:showPercent val="0"/>
          <c:showSerName val="0"/>
          <c:showVal val="0"/>
        </c:dLbls>
        <c:marker val="1"/>
        <c:smooth val="0"/>
        <c:axId val="511722037"/>
        <c:axId val="511722038"/>
      </c:lineChart>
      <c:catAx>
        <c:axId val="511722037"/>
        <c:scaling>
          <c:orientation val="minMax"/>
        </c:scaling>
        <c:delete val="0"/>
        <c:axPos val="b"/>
        <c:numFmt formatCode="General" sourceLinked="1"/>
        <c:majorTickMark val="none"/>
        <c:minorTickMark val="out"/>
        <c:tickLblPos val="nextTo"/>
        <c:spPr bwMode="auto"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38"/>
        <c:crosses val="autoZero"/>
        <c:auto val="1"/>
        <c:lblAlgn val="ctr"/>
        <c:lblOffset val="100"/>
        <c:noMultiLvlLbl val="0"/>
      </c:catAx>
      <c:valAx>
        <c:axId val="511722038"/>
        <c:scaling>
          <c:orientation val="minMax"/>
        </c:scaling>
        <c:delete val="0"/>
        <c:axPos val="l"/>
        <c:majorGridlines>
          <c:spPr bwMode="auto">
            <a:prstGeom prst="rect">
              <a:avLst/>
            </a:prstGeom>
            <a:noFill/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</c:spPr>
        </c:majorGridlines>
        <c:numFmt formatCode="General" sourceLinked="1"/>
        <c:majorTickMark val="none"/>
        <c:minorTickMark val="none"/>
        <c:tickLblPos val="nextTo"/>
        <c:spPr bwMode="auto">
          <a:prstGeom prst="rect">
            <a:avLst/>
          </a:prstGeom>
          <a:noFill/>
          <a:ln>
            <a:noFill/>
          </a:ln>
        </c:spPr>
        <c:txPr>
          <a:bodyPr/>
          <a:p>
            <a:pPr>
              <a:defRPr sz="90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/>
          </a:p>
        </c:txPr>
        <c:crossAx val="511722037"/>
        <c:crosses val="autoZero"/>
        <c:crossBetween val="between"/>
      </c:valAx>
      <c:spPr bwMode="auto">
        <a:prstGeom prst="rect">
          <a:avLst/>
        </a:prstGeom>
        <a:noFill/>
        <a:ln>
          <a:noFill/>
        </a:ln>
      </c:spPr>
    </c:plotArea>
    <c:legend>
      <c:legendPos val="b"/>
      <c:layout/>
      <c:overlay val="0"/>
      <c:spPr bwMode="auto"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 bwMode="auto">
    <a:xfrm>
      <a:off x="0" y="0"/>
      <a:ext cx="5066051" cy="2946272"/>
    </a:xfrm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</c:spPr>
  <c:txPr>
    <a:bodyPr/>
    <a:p>
      <a:pPr>
        <a:defRPr sz="1000">
          <a:solidFill>
            <a:schemeClr val="tx1"/>
          </a:solidFill>
          <a:latin typeface="+mn-lt"/>
          <a:ea typeface="+mn-ea"/>
          <a:cs typeface="+mn-cs"/>
        </a:defRPr>
      </a:pPr>
      <a:endParaRPr/>
    </a:p>
  </c:txPr>
  <c:externalData r:id="rId3">
    <c:autoUpdate val="0"/>
  </c:externalData>
  <c:printSettings>
    <c:headerFooter/>
    <c:pageMargins l="0.69999999999999996" r="0.69999999999999996" t="0.75" b="0.75" header="0.29999999999999999" footer="0.29999999999999999"/>
    <c:pageSetup/>
  </c:printSettings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>
    <cs:lnRef idx="0"/>
    <cs:fillRef idx="0"/>
    <cs:effectRef idx="0"/>
    <cs:fontRef idx="minor">
      <a:schemeClr val="tx1"/>
    </cs:fontRef>
    <cs:spPr bwMode="auto">
      <a:prstGeom prst="rect">
        <a:avLst/>
      </a:prstGeom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Point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 bwMode="auto">
      <a:prstGeom prst="rect">
        <a:avLst/>
      </a:prstGeom>
      <a:solidFill>
        <a:schemeClr val="phClr"/>
      </a:solidFill>
      <a:ln w="9525">
        <a:solidFill>
          <a:schemeClr val="phClr"/>
        </a:solidFill>
      </a:ln>
    </cs:spPr>
  </cs:dataPointMarker>
  <cs:dataPointWireframe>
    <cs:lnRef idx="0">
      <cs:styleClr val="auto"/>
    </cs:lnRef>
    <cs:fillRef idx="1"/>
    <cs:effectRef idx="0"/>
    <cs:fontRef idx="minor">
      <a:schemeClr val="tx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 bwMode="auto">
      <a:prstGeom prst="rect">
        <a:avLst/>
      </a:prstGeom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tx1"/>
    </cs:fontRef>
    <cs:spPr bwMode="auto">
      <a:prstGeom prst="rect">
        <a:avLst/>
      </a:prstGeom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spc="0"/>
  </cs:title>
  <cs:trendline>
    <cs:lnRef idx="0">
      <cs:styleClr val="auto"/>
    </cs:lnRef>
    <cs:fillRef idx="0"/>
    <cs:effectRef idx="0"/>
    <cs:fontRef idx="minor">
      <a:schemeClr val="tx1"/>
    </cs:fontRef>
    <cs:spPr bwMode="auto">
      <a:prstGeom prst="rect">
        <a:avLst/>
      </a:prstGeom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  <cs:spPr bwMode="auto">
      <a:prstGeom prst="rect">
        <a:avLst/>
      </a:prstGeom>
      <a:noFill/>
      <a:ln>
        <a:noFill/>
      </a:ln>
    </cs:spPr>
  </cs:wall>
  <cs:dataPointMarkerLayout symbol="circle" size="5"/>
</cs:chartStyle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2024-12-30T21:59:38Z</dcterms:modified>
</cp:coreProperties>
</file>